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792"/>
        <w:gridCol w:w="852"/>
        <w:gridCol w:w="1079"/>
        <w:gridCol w:w="70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2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3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Chirurgia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V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3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9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23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2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823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9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823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62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Wiedza z zakresu anatomii, fizjologii i patologii.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sz w:val="20"/>
                <w:szCs w:val="20"/>
              </w:rPr>
              <w:t>Zdobycie przez studenta określonego programem zasobu wiedzy, umiejętności, nawyków oraz ukształtowanie cech osobowości, pożądanych dla absolwenta studiów licencjackich. Przyswojenie teoretycznych i praktycznych wiadomości z zakresu chirurgii ogólnej, naczyniowej, onkologicznej.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analiza tekstów z dyskusją, praca w grupach, analiza zdarzeń krytycznych (przypadków), dyskusja.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756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C.W20 skale oceny bólu i możliwości wdrożenia leczenia przeciwbólowego przez ratownika medycznego;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75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C.W24 zasady badania podmiotowego w zakresie niezbędnym do prowadzenia medycznych czynności ratunkowych</w:t>
            </w:r>
          </w:p>
        </w:tc>
        <w:tc>
          <w:tcPr>
            <w:tcW w:w="190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75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C.W25 zasady badania przedmiotowego w zakresie niezbędnym do prowadzenia medycznych czynności ratunkowych i udzielania świadczeń zdrowotnych innych niż medyczne czynności ratunkowe;</w:t>
            </w:r>
          </w:p>
        </w:tc>
        <w:tc>
          <w:tcPr>
            <w:tcW w:w="190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756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C.W31 wybrane choroby przewodu pokarmowego;</w:t>
            </w:r>
          </w:p>
        </w:tc>
        <w:tc>
          <w:tcPr>
            <w:tcW w:w="190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C.W4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.  zasady i technikę wykonywania opatrunków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C.W4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. zasady przygotowania do zabiegów medycznych w stanach zagrożenia życia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C.W5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. techniki zabiegów medycznych wykonywanych samodzielnie przez ratownika medycznego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C.W5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. zasady aseptyki i antyseptyki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C.W7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3 procedury medyczne stosowane przez ratownika medycznego, w szczególności zaopatrywanie ran i oparzeń, tamowanie krwotoków, unieruchamianie złamań, zwichnięć i skręceń oraz unieruchamianie kręgosłupa, ze szczególnym uwzględnieniem odcinka szyjnego, a także podawanie leków;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FF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C.W80.  procedury medyczne stosowane przez ratownika medycznego, w szczególności zaopatrywanie ran i oparzeń, tamowanie krwotoków, unieruchamianie złamań, zwichnięć i skręceń, a także podawanie produktów leczniczych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1090" w:leader="none"/>
              </w:tabs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C.W</w:t>
            </w: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98 procedurę zakładania sondy żołądkowej i płukania żołądka;</w:t>
            </w:r>
          </w:p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1090" w:leader="none"/>
              </w:tabs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/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90" w:hRule="atLeast"/>
        </w:trPr>
        <w:tc>
          <w:tcPr>
            <w:tcW w:w="2604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 xml:space="preserve">C.U1.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ocenić stan pacjenta w celu ustalenia sposobu postępowania ratunkowego;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390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C.U4.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przeprowadzić badanie fizykalne pacjenta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90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C.U7.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przeprowadzać wywiad medyczny z pacjentem dorosłym w zakresie niezbędnym do podjęcia medycznych czynności ratunkowych;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90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C.U8.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oceniać stan świadomości pacjenta;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52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 xml:space="preserve">C.U9.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układać pacjenta w pozycji właściwej dla rodzaju choroby lub odniesionych obrażeń ciała;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 xml:space="preserve">C.U10.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przeprowadzać badanie fizykalne pacjenta dorosłego w zakresie niezbędnym do ustalenia jego stanu;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C.U37. wiązać obrazy uszkodzeń tkankowych i narządowych z objawami klinicznymi choroby;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98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C.U4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. stosować się do zasad aseptyki i antyseptyki, zaopatrywać prostą ranę, zakładać i zmieniać jałowy opatrunek chirurgiczny;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98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51</w:t>
            </w:r>
            <w:r>
              <w:rPr>
                <w:rFonts w:eastAsia="Times New Roman" w:cs="Times New Roman" w:ascii="Times New Roman" w:hAnsi="Times New Roman"/>
                <w:color w:val="111111"/>
                <w:sz w:val="20"/>
                <w:szCs w:val="20"/>
                <w:lang w:eastAsia="pl-PL"/>
              </w:rPr>
              <w:t xml:space="preserve"> tamować krwotoki zewnętrzne i unieruchamiać kończyny po urazie;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98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52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. stabilizować i unieruchamiać kręgosłup;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123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54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. stosować skale ciężkości obrażeń;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98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C.U60. zaopatrywać krwawienie zewnętrzne;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98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C.U6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. identyfikować zagrożenia obrażeń: czaszkowo-mózgowych, klatki piersiowej, jamy brzusznej, kończyn, kręgosłupa i rdzenia kręgowego oraz miednicy, a także wdrażać postępowanie ratunkowe w przypadku tych obrażeń;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tabs>
                <w:tab w:val="clear" w:pos="708"/>
                <w:tab w:val="left" w:pos="980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C.U6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. identyfikować wskazania do transportu do centrum urazowego lub centrum urazowego dla dzieci i zgłaszać obecność kryteriów kwalifikacji kierownikowi zespołu urazowego lub kierownikowi zespołu urazowego dziecięcego;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65" w:hRule="atLeast"/>
        </w:trPr>
        <w:tc>
          <w:tcPr>
            <w:tcW w:w="2604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0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570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K.5.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 xml:space="preserve"> dostrzegania i rozpoznawania własnych ograniczeń, dokonywania samooceny deficytów i potrzeb edukacyjnych;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59" w:hRule="atLeast"/>
        </w:trPr>
        <w:tc>
          <w:tcPr>
            <w:tcW w:w="2604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K.6. kierowania się dobrem pacjenta;</w:t>
            </w:r>
          </w:p>
        </w:tc>
        <w:tc>
          <w:tcPr>
            <w:tcW w:w="190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04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62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" w:cs="Times New Roman" w:ascii="Times New Roman" w:hAnsi="Times New Roman" w:eastAsiaTheme="minor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" w:cs="Times New Roman" w:ascii="Times New Roman" w:hAnsi="Times New Roman" w:eastAsiaTheme="minorEastAsia"/>
                <w:color w:val="000000"/>
                <w:sz w:val="20"/>
                <w:szCs w:val="20"/>
              </w:rPr>
              <w:t>choroba zakrzepowo-zatorowa. Profilaktyka przeciw zakrzepowa w schorzeniach chirurgicznych i urazach.</w:t>
            </w:r>
          </w:p>
        </w:tc>
        <w:tc>
          <w:tcPr>
            <w:tcW w:w="1906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" w:cs="Times New Roman" w:eastAsiaTheme="minorEastAsia"/>
                <w:color w:val="000000"/>
                <w:sz w:val="20"/>
                <w:szCs w:val="20"/>
              </w:rPr>
            </w:pPr>
            <w:r>
              <w:rPr>
                <w:rFonts w:eastAsia="" w:cs="Times New Roman" w:ascii="Times New Roman" w:hAnsi="Times New Roman" w:eastAsiaTheme="minorEastAsia"/>
                <w:color w:val="000000"/>
                <w:sz w:val="20"/>
                <w:szCs w:val="20"/>
              </w:rPr>
              <w:t>Zasady prawidłowego badania chorych ze schorzeniami chirurgicznymi oraz prowadzenie dokumentacji medycznej. Stany zagrażające życiu w schorzeniach urologicznych. Stany zagrażające życiu w schorzeniach ośrodkowego układu nerwowego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" w:cs="Times New Roman" w:ascii="Times New Roman" w:hAnsi="Times New Roman" w:eastAsiaTheme="minorEastAsia"/>
                <w:color w:val="000000"/>
                <w:sz w:val="20"/>
                <w:szCs w:val="20"/>
              </w:rPr>
              <w:t>Stany zagrażające życiu w schorzeniach urologicznych.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" w:cs="Times New Roman" w:ascii="Times New Roman" w:hAnsi="Times New Roman" w:eastAsiaTheme="minorEastAsia"/>
                <w:color w:val="000000"/>
                <w:sz w:val="20"/>
                <w:szCs w:val="20"/>
              </w:rPr>
              <w:t>Stany zagrażające życiu w schorzeniach ośrodkowego układu nerwowego.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" w:cs="Times New Roman" w:ascii="Times New Roman" w:hAnsi="Times New Roman" w:eastAsiaTheme="minorEastAsia"/>
                <w:color w:val="000000"/>
                <w:sz w:val="20"/>
                <w:szCs w:val="20"/>
              </w:rPr>
              <w:t>Rola i zadania bloku operacyjnego.  Narzędzia chirurgiczne.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" w:cs="Times New Roman" w:ascii="Times New Roman" w:hAnsi="Times New Roman" w:eastAsiaTheme="minorEastAsia"/>
                <w:color w:val="000000"/>
                <w:sz w:val="20"/>
                <w:szCs w:val="20"/>
              </w:rPr>
              <w:t>Urazy jamy brzusznej i klatki piersiowej.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" w:cs="Times New Roman" w:ascii="Times New Roman" w:hAnsi="Times New Roman" w:eastAsiaTheme="minorEastAsia"/>
                <w:color w:val="000000"/>
                <w:sz w:val="20"/>
                <w:szCs w:val="20"/>
              </w:rPr>
              <w:t>Obrażenia czaszkowo-mózgowe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" w:cs="Times New Roman" w:ascii="Times New Roman" w:hAnsi="Times New Roman" w:eastAsiaTheme="minorEastAsia"/>
                <w:color w:val="000000"/>
                <w:sz w:val="20"/>
                <w:szCs w:val="20"/>
              </w:rPr>
              <w:t>Krwotoki zewnętrzne i wewnętrzne-etiopatogeneza i odrębności postępowania. Rodzaje ran - metody postępowania.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" w:cs="Times New Roman" w:ascii="Times New Roman" w:hAnsi="Times New Roman" w:eastAsiaTheme="minorEastAsia"/>
                <w:color w:val="000000"/>
                <w:sz w:val="20"/>
                <w:szCs w:val="20"/>
              </w:rPr>
              <w:t>Ostre schorzenia jamy brzusznej-diagnostyka i leczenie z uwzględnieniem nowoczesnych metod diagnostycznych.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" w:cs="Times New Roman" w:ascii="Times New Roman" w:hAnsi="Times New Roman" w:eastAsiaTheme="minorEastAsia"/>
                <w:color w:val="000000"/>
                <w:sz w:val="20"/>
                <w:szCs w:val="20"/>
              </w:rPr>
              <w:t>Zapalenie otrzewnej-rodzaje, przyczyny, objawy i metody leczenia. Niedrożność przewodu pokarmowego, rodzaje, przyczyny i leczenie Przepukliny powłok jamy brzusznej-definicja, diagnostyka i możliwości lecznicze</w:t>
            </w:r>
          </w:p>
        </w:tc>
        <w:tc>
          <w:tcPr>
            <w:tcW w:w="190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" w:cs="Times New Roman" w:ascii="Times New Roman" w:hAnsi="Times New Roman" w:eastAsiaTheme="minorEastAsia"/>
                <w:color w:val="000000"/>
                <w:sz w:val="20"/>
                <w:szCs w:val="20"/>
              </w:rPr>
              <w:t>Rodzaje obrażeń ciała, ich definicje oraz zasady kwalifikowania do centrum urazowego i centrum urazowego dla dzieci Zasady funkcjonowania centrum urazowego i centrum urazowego dla dzieci</w:t>
            </w:r>
          </w:p>
        </w:tc>
        <w:tc>
          <w:tcPr>
            <w:tcW w:w="1906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1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Narzędzia chirurgiczne-prezentacja grup narzędzi</w:t>
            </w:r>
          </w:p>
        </w:tc>
        <w:tc>
          <w:tcPr>
            <w:tcW w:w="1906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Rodzaje węzłów i szwów chirurgicznych-ćwiczenia fantomowe.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Postępowanie w krwawieniach i krwotokach zewnętrznych- ćwiczenia fantomowe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Praktyczne sposoby unieruchamiania złamań powikłanych ze szczególnym uwzględnieniem urazów naczyń i nerwów.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Profilaktyka tężca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Zakładanie miękkich opatrunków w obszarze klatki piersiowej i kończyn. Opatrunki głowy i szyi.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Praktyczna nauka zakładania różnych rodzajów szwów w zależności od rodzaju rany i okolicy ciała-ćwiczenia fantomowe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Resuscytacja krążeniowo-oddechowa u chorych urazowych-ćwiczenia fantomowe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egzamin pisemny/ustny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52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01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Anatomia chirurgiczna i technika zabiegów operacyjnych / John E. Skandalakis, Panajiotis N. Skandalakis, Lee John Skandalakis; tł. z ang. Wojciech Rowiński. - dodr. - Warszawa : Wydaw. Lekarskie PZWL, 2003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Chirurgia / red. Wojciech Noszczyk Chirurgia. T. 1 / red. Wojciech Noszczyk; Piotr Andziak, Jerzy Arendt [et al.]. - Warszawa : Wydaw. Lekarskie PZWL, 2005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Chirurgia / red. Wojciech Noszczyk Chirurgia. T. 2 / red. Wojciech Noszczyk; Maciej Bagłaj [et al.]. - Warszawa : Wydaw. Lekarskie PZWL, 2005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Chirurgia : podręcznik dla studentów / red. Jan Fibak; Wojciech Burchardt [et al.]. - Wyd. 3. - Warszawa : Wydaw. Lekarskie PZWL, . 2014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Chirurgia : repetytorium / Jan Fibak. - Wyd. 2 dodr. - Warszawa : Wydaw. Lekarskie PZWL, 2006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Chirurgia dziecięca : poradnik dla lekarzy pierwszego kontaktu / red. Aleksander A. Wagner; Wojciech Boratyński [et al.]. - Warszawa : Wydaw. Lekarskie PZWL, 2003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6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ind w:hanging="360" w:left="373"/>
              <w:rPr/>
            </w:pPr>
            <w:r>
              <w:rPr>
                <w:rFonts w:cs="Times New Roman" w:ascii="Times New Roman" w:hAnsi="Times New Roman"/>
                <w:lang w:val="en-US"/>
              </w:rPr>
              <w:t>„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Chirurgia stanów nagłych”; Peitzman Andrew B., Rhodes Michael, Schwab C. William, 2010, Medipage</w:t>
            </w:r>
          </w:p>
          <w:p>
            <w:pPr>
              <w:pStyle w:val="ListParagraph"/>
              <w:numPr>
                <w:ilvl w:val="0"/>
                <w:numId w:val="3"/>
              </w:numPr>
              <w:spacing w:before="0" w:after="160"/>
              <w:ind w:hanging="360" w:left="373"/>
              <w:contextualSpacing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Youngson R.: Operacje chirurgiczne. Wyd. Bauer-Weltbild Media, Warszawa. 2006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NewRoman">
    <w:charset w:val="ee"/>
    <w:family w:val="roman"/>
    <w:pitch w:val="variable"/>
  </w:font>
  <w:font w:name="Book Antiqua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annotation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Hyperlink">
    <w:name w:val="Hyperlink"/>
    <w:uiPriority w:val="99"/>
    <w:semiHidden/>
    <w:unhideWhenUsed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Emphasis">
    <w:name w:val="Emphasis"/>
    <w:basedOn w:val="DefaultParagraphFont"/>
    <w:uiPriority w:val="20"/>
    <w:qFormat/>
    <w:rsid w:val="004e6ccd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ed">
    <w:name w:val="Body Text, Indented"/>
    <w:basedOn w:val="Normal"/>
    <w:link w:val="TekstpodstawowywcityZnak"/>
    <w:qFormat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" w:customStyle="1">
    <w:name w:val="Zawartość tabeli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" w:customStyle="1">
    <w:name w:val="Nagłówek tabeli"/>
    <w:basedOn w:val="Zawartotabeli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Application>LibreOffice/24.2.5.2$Windows_X86_64 LibreOffice_project/bffef4ea93e59bebbeaf7f431bb02b1a39ee8a59</Application>
  <AppVersion>15.0000</AppVersion>
  <DocSecurity>0</DocSecurity>
  <Pages>4</Pages>
  <Words>1444</Words>
  <Characters>10144</Characters>
  <CharactersWithSpaces>11397</CharactersWithSpaces>
  <Paragraphs>209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2026-04-17T15:29:56Z</dcterms:modified>
  <cp:revision>517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